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上市公司是资本市场发展的基石，给予投资者合理的投资回报，为投资者提供分享经济增长成果的机会，是上市公司应尽的责任和义务。现金分红是实现投资回报的重要形式，更是培育资本市场长期投资理念，增强资本市场活力和吸引力的重要途径。</w:t>
      </w:r>
    </w:p>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——中国证监会《关于进一步落实上市公司现金分红有关事项的通知》</w:t>
      </w:r>
    </w:p>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华润三九医药股份有限公司自2000年3月在深圳证券交易所挂牌上市，至今已通过资本市场与广大投资者携手共同走过十二载春秋，共同见证了中国经济的腾飞 与中国证券市场的蓬勃发展。借助资本市场的力量，华润三九业绩稳定增长，在OTC和中药处方药领域逐步形成了自身的优势和实力，“999”品牌位列感冒药 和皮肤药市场的领导地位；在资本市场中，公司的投资价值获得充分肯定，位列国内最具竞争力医药上市公司之一，曾先后获评“2008年度中国上市公司百强金 牛奖”、“2009年中国制药工业百强”、“2010年度中国最具竞争力医药上市公司20强”、“2012年度医药上市公司最具投资价值10强 ”等诸多荣誉，并自2009年7月起列入沪深300指数、深证100指数。</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华润三九在实现业绩增长的同时，一直高度重视对投资者的合理投资回报。如下表所示，公司上市12年中有8年进行了较高比例的现金分红，在所有分红年份中，平均分红比例达41.62%。</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下表所示为华润三九自上市以来的现金分红情况统计。</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b/>
          <w:bCs/>
          <w:color w:val="333333"/>
          <w:sz w:val="20"/>
        </w:rPr>
        <w:t>（单位：人民币百万元）</w:t>
      </w:r>
    </w:p>
    <w:tbl>
      <w:tblPr>
        <w:tblW w:w="66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5"/>
        <w:gridCol w:w="1606"/>
        <w:gridCol w:w="2913"/>
        <w:gridCol w:w="1606"/>
      </w:tblGrid>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年份</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当年现金分红</w:t>
            </w:r>
          </w:p>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（含税）</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     当年分红比例*</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累计现金分红</w:t>
            </w:r>
          </w:p>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（含税）</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195.78</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97.12%</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195.78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30.12</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24.89%</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225.90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70.03</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42.44%</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295.93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44.05</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339.98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195.78</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39.15%</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535.76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293.67</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41.39%</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829.43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293.67</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35.99%</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1,123.10 </w:t>
            </w:r>
          </w:p>
        </w:tc>
      </w:tr>
      <w:tr w:rsidR="009F4EE4" w:rsidRPr="009F4EE4" w:rsidTr="009F4EE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center"/>
              <w:rPr>
                <w:rFonts w:ascii="宋体" w:eastAsia="宋体" w:hAnsi="宋体" w:cs="宋体"/>
                <w:sz w:val="24"/>
                <w:szCs w:val="24"/>
              </w:rPr>
            </w:pPr>
            <w:r w:rsidRPr="009F4EE4">
              <w:rPr>
                <w:rFonts w:ascii="宋体" w:eastAsia="宋体" w:hAnsi="宋体" w:cs="宋体"/>
                <w:b/>
                <w:bCs/>
                <w:color w:val="333333"/>
                <w:sz w:val="20"/>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234.94</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30.89%</w:t>
            </w:r>
          </w:p>
        </w:tc>
        <w:tc>
          <w:tcPr>
            <w:tcW w:w="0" w:type="auto"/>
            <w:tcBorders>
              <w:top w:val="outset" w:sz="6" w:space="0" w:color="auto"/>
              <w:left w:val="outset" w:sz="6" w:space="0" w:color="auto"/>
              <w:bottom w:val="outset" w:sz="6" w:space="0" w:color="auto"/>
              <w:right w:val="outset" w:sz="6" w:space="0" w:color="auto"/>
            </w:tcBorders>
            <w:vAlign w:val="center"/>
            <w:hideMark/>
          </w:tcPr>
          <w:p w:rsidR="009F4EE4" w:rsidRPr="009F4EE4" w:rsidRDefault="009F4EE4" w:rsidP="009F4EE4">
            <w:pPr>
              <w:adjustRightInd/>
              <w:snapToGrid/>
              <w:spacing w:before="100" w:beforeAutospacing="1" w:after="100" w:afterAutospacing="1"/>
              <w:jc w:val="right"/>
              <w:rPr>
                <w:rFonts w:ascii="宋体" w:eastAsia="宋体" w:hAnsi="宋体" w:cs="宋体"/>
                <w:sz w:val="24"/>
                <w:szCs w:val="24"/>
              </w:rPr>
            </w:pPr>
            <w:r w:rsidRPr="009F4EE4">
              <w:rPr>
                <w:rFonts w:ascii="宋体" w:eastAsia="宋体" w:hAnsi="宋体" w:cs="宋体"/>
                <w:color w:val="333333"/>
                <w:sz w:val="20"/>
                <w:szCs w:val="20"/>
              </w:rPr>
              <w:t xml:space="preserve">1,358.04 </w:t>
            </w:r>
          </w:p>
        </w:tc>
      </w:tr>
    </w:tbl>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w:t>
      </w:r>
      <w:r w:rsidRPr="009F4EE4">
        <w:rPr>
          <w:rFonts w:ascii="宋体" w:eastAsia="宋体" w:hAnsi="宋体" w:cs="宋体"/>
          <w:b/>
          <w:bCs/>
          <w:color w:val="333333"/>
          <w:sz w:val="20"/>
        </w:rPr>
        <w:t>注：（1）数据来源为公司历年年报</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b/>
          <w:bCs/>
          <w:color w:val="333333"/>
          <w:sz w:val="20"/>
        </w:rPr>
        <w:t>（2）*当年分红比例：指现金分红占当年归属于母公司股东净利润的百分比</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截至目前，公司向资本市场共募集资金一次共16.9亿元，上市以来累计现金分红达13.58亿元，现金分红占募集资金的比重高达80.36%；其中，向A 股流通股东累计现金分红4.41亿元，占募集资金26%，高于市场平均水平。稳定的较高比例现金分红充分表明华润三九对投资者价值回报的重视，也是华润三 九践行“建设股东价值和员工价值最大化的上市公司”理念的阶段性优秀成果。</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为实施投资者保护，创造良好的资本市场投资环境，证监会于今年5月9日正式颁布了《关于进一步落实上市公司现金分红有关事项的通知》（以下简称“《通 知》”），要求上市公司进一步强化回报股东的意识，制定明确的利润分配政策尤其是现金分红政策。华润三九积极回应证监会《通知》的要求，成立了工作小组， 从股东回报规划安排、利润分配尤其是现金分红事项决策程序和机制的完善上做了专项研究论证，同时通过电话专线方式听取中小股东的意见和诉求，形成了《华润 三九关于股东回报规划事宜的论证报告》。在此基础上，综</w:t>
      </w:r>
      <w:r w:rsidRPr="009F4EE4">
        <w:rPr>
          <w:rFonts w:ascii="宋体" w:eastAsia="宋体" w:hAnsi="宋体" w:cs="宋体"/>
          <w:color w:val="333333"/>
          <w:sz w:val="20"/>
          <w:szCs w:val="20"/>
        </w:rPr>
        <w:lastRenderedPageBreak/>
        <w:t>合考虑公司发展战略、实际发展过程中的资金需求，实行对投资者持续、稳定的利润分配政策，公司制定 了《华润三九未来三年股东回报规划(2012年-2014年)》，经公司2012年董事会第五次会议及2012年第二次临时股东大会审议通过，现已正式实 施。</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《关于未来三年股东回报规划（2012年-2014年）》中明确，在弥补亏损，提取法定公积金、任意公积金以后，在现金流满足公司正常经营、投资规划和长 期发展的前提下，公司最近三年以现金方式累计分配的利润不少于最近三年实现的年均可分配利润的60%。公司在修改后的《公司章程》中根据《通知》的要求进 一步落实并细化了利润分配原则、利润分配程序、利润分配形式、现金分配的条件、现金分配的比例及时间、股票股利分配的条件、利润分配的决策程序、信息披露 的透明度等规章制度。通过以上举措，公司进一步增强了现金分红的透明度，并从制度上确认了未来的利润分配政策，使投资者形成了稳定的回报预期。</w:t>
      </w:r>
    </w:p>
    <w:p w:rsidR="009F4EE4" w:rsidRPr="009F4EE4" w:rsidRDefault="009F4EE4" w:rsidP="009F4EE4">
      <w:pPr>
        <w:adjustRightInd/>
        <w:snapToGrid/>
        <w:spacing w:before="100" w:beforeAutospacing="1" w:after="100" w:afterAutospacing="1"/>
        <w:rPr>
          <w:rFonts w:ascii="宋体" w:eastAsia="宋体" w:hAnsi="宋体" w:cs="宋体"/>
          <w:sz w:val="24"/>
          <w:szCs w:val="24"/>
        </w:rPr>
      </w:pPr>
      <w:r w:rsidRPr="009F4EE4">
        <w:rPr>
          <w:rFonts w:ascii="宋体" w:eastAsia="宋体" w:hAnsi="宋体" w:cs="宋体"/>
          <w:color w:val="333333"/>
          <w:sz w:val="20"/>
          <w:szCs w:val="20"/>
        </w:rPr>
        <w:t>    2012年是华润三九十二五战略期的第二年，在未来的经营发展中，公司将朝着“成为OTC市场的引领者、中药处方药市场的创新者”的目标稳步迈进，在实现 业务快速增长的同时进一步重视对投资者的价值回报，落实利润分配尤其是现金分红政策，让投资者切切实实地分享公司的发展成果，获得合理的投资收益。</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D5736"/>
    <w:rsid w:val="008B7726"/>
    <w:rsid w:val="009F4EE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EE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9F4EE4"/>
    <w:rPr>
      <w:b/>
      <w:bCs/>
    </w:rPr>
  </w:style>
</w:styles>
</file>

<file path=word/webSettings.xml><?xml version="1.0" encoding="utf-8"?>
<w:webSettings xmlns:r="http://schemas.openxmlformats.org/officeDocument/2006/relationships" xmlns:w="http://schemas.openxmlformats.org/wordprocessingml/2006/main">
  <w:divs>
    <w:div w:id="7274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2014-12-19T16:16:00Z</dcterms:modified>
</cp:coreProperties>
</file>